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d223ffc0d4bc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28991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KUTINA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9.387.759,03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11.392.287,23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8.256.254,92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9.681.135,74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1.131.504,11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1.711.151,49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63.881,93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51.467,55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3.253.234,53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2.705.565,96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3.189.352,60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2.654.098,41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1.255.764,44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2.451.096,56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493.587,48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849.382,32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762.176,96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1.601.714,24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658.767,32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prihodi poslovanja u izvještajnom razdoblju 01. 01. -30. 06. 2026. godine su u iznosu od 11.392.287,23 eura. Najznačajnija povećanja istih ostvarena su od poreznih prihoda, tekućih i kapitalnih pomoći,  Isto tako značajnije povećanje prihoda je i od kapitalnih pomoći temeljem prijenosa EU sredstava temeljem podnesenih ZNS-ova, te je bolja naplata komunalne naknade i komunalnog doprinosa (opomene i prisilna naplata).</w:t>
      </w:r>
    </w:p>
    <w:p>
      <w:r>
        <w:t xml:space="preserve">Ukupno ostvareni rashodi poslovanja u izvještajnom razdoblju su u iznosu od 9.681.135,74 eura. Najznačajnija povećanja rashoda su na rashodima za zaposlene zbog povećanja plaća u odnosu na isto razdoblje prethodne godine, na financijskim rashodima zbog plaćanja kamata i interkalarnih kamata po novim kreditima, povećani su rashodi vezani za dane stipendije (povećan broj studenata i povećan iznos stipendije), povećani su rashodi za proračunske korisnike iz gradskih izvora, te jedno od značajnijih povećanja je i dana kapitalna donacija vjerskoj zajednici, te naknada za energetsku obnovu.   </w:t>
      </w:r>
    </w:p>
    <w:p>
      <w:r>
        <w:t xml:space="preserve">Prihodi od prodaje nefinancijske imovine ostvareni su u iznosu od 51.467,55 eura i odnose se na prihod od prodaje zemljišta, te na prihod od otkupa stanova.   Ukupni rashodi za nabavu nefinancijske imovine ostvareni su u iznosu od 2.705.565,96 eura. Najznačajnije povećanje rashoda na nefinancijskoj imovini je na investicijama vezanim za izgradnju cesta i nogostupa, te radovi vezani za objekte Grada, a najznačajnija smanjenja vezana su uz završetak radova na poslovnim objektima.</w:t>
      </w:r>
    </w:p>
    <w:p>
      <w:r>
        <w:t xml:space="preserve">Ukupni primici od financijske imovine i zaduživanja ostvareni su u iznosu od 2.451.096,56 eura, djelomično su realizirani krediti od kreditnih institucija u javnom sektoru, a realizacija istih povezana je s dinamikom ostvarivanja kapitalnih investicija za koje su osigurana kreditna sredstva. Ukupni izdaci za financijsku imovinu i otplate zajmova u izvještajnom razdoblju ostvareni su u iznosu od 849.382,32 eura i odnose se na otplate glavnice primljenih kredita te izdatke za kupnju udjela.</w:t>
      </w:r>
    </w:p>
    <w:p>
      <w:r>
        <w:t xml:space="preserve">U razdoblju od 01. 01. - 30. 06. 2026. godine ostvaren je višak prihoda poslovanja u iznosu od 1.711.151,49 eura, manjak prihoda od nefinancijske imovine u iznosu od 2.654.098,41 eura i višak od financijske imovine i zaduživanja u iznosu od 1.601.714,24 eura slijedom čega je na kraju izvještajnog razdoblja ostvaren višak prihoda i primitaka u iznosu od 658.767,32 eura.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4.136.629,95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4.771.637,46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Prihodi od poreza na dohodak povećani su za 15,4% u odnosu na isto razdoblje prethodne godine i najznačajnije povećanje je kod poreza na dohodak od nesamostalnog rada vezano za rast plaća na razini grada. U ovoj podskupini značajnije povećanje  je kod povrata poreza na dohodak po godišnjoj prijavi.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17.111,16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287.974,00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1683,0</w:t>
            </w:r>
          </w:p>
        </w:tc>
      </w:tr>
    </w:tbl>
    <w:p>
      <w:pPr>
        <w:spacing w:before="0" w:after="0"/>
      </w:pPr>
    </w:p>
    <w:p>
      <w:r>
        <w:t xml:space="preserve">Povećanje u odnosu na isto razdoblje prethodne godine, a odnosi se na preknjiženje sredstava za fiskalnu održivost dječjih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334.217,59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826.774,97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247,4</w:t>
            </w:r>
          </w:p>
        </w:tc>
      </w:tr>
    </w:tbl>
    <w:p>
      <w:pPr>
        <w:spacing w:before="0" w:after="0"/>
      </w:pPr>
    </w:p>
    <w:p>
      <w:r>
        <w:t xml:space="preserve">Povećanje u odnosu na isto razdoblje prethodne godine nastalo zbog primljenih sredstava po Ugovoru za sufinanciranje vlastitog učešća za dva projekta, te primljena sredstva za projekt izgradnje tribine uz sportsko igralište.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izravnanja za decentralizirane funkcije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17.842,72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34.587,80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193,8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godine, a odnosi se na dio pomoći izravnanja za dec funkcije koji je utrošen za nabavu dugotrajne imovine vezano za OŠ.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888.661,20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230,9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nastalo zbog ostvarenih prihoda po podnesenim i odobrenim ZNS-ovima, te uplatama po istima za EO objekata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230.116,35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361.413,32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157,1</w:t>
            </w:r>
          </w:p>
        </w:tc>
      </w:tr>
    </w:tbl>
    <w:p>
      <w:pPr>
        <w:spacing w:before="0" w:after="0"/>
      </w:pPr>
    </w:p>
    <w:p>
      <w:r>
        <w:t xml:space="preserve">Povećan je prihod vezan za uplatu naknade za eksploataciju mineralnih sirovina.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2415,3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2025.g., a odnosi se na plaćanje naknade za zadržano neizgrađeno zemljište.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Županijske, gradske i općinske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18.840,92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21.410,53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Povećanje  plaćenih pristojbi za građevinske i lokacijske dozvole u izvještajnom razdoblju u odnosu na isto razdoblje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144,0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 zbog povećanih prihoda od turističke pristojbe.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33.109,83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83.015,79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250,7</w:t>
            </w:r>
          </w:p>
        </w:tc>
      </w:tr>
    </w:tbl>
    <w:p>
      <w:pPr>
        <w:spacing w:before="0" w:after="0"/>
      </w:pPr>
    </w:p>
    <w:p>
      <w:r>
        <w:t xml:space="preserve">Značajnije povećanje naplaćenog šumskog doprinosa u odnosu na isto razdoblje 2025. godine zbog pojačane sječe šuma.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28.879,67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60.685,75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210,1</w:t>
            </w:r>
          </w:p>
        </w:tc>
      </w:tr>
    </w:tbl>
    <w:p>
      <w:pPr>
        <w:spacing w:before="0" w:after="0"/>
      </w:pPr>
    </w:p>
    <w:p>
      <w:r>
        <w:t xml:space="preserve">Povećanje u odnosu na isto razdoblje prethodne godine zbog bolje naplate komunalnog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1.684.838,42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2.020.104,91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zbog učinkovitije naplate komunalne naknade, te povećanog broja obveznika.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823.683,52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913.524,29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nastalo zbog povećanja plaća i povećanja broja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zbog toga što je u 2025. godini u izvještajnom razdoblju bila zadužena plaća za 1. i 2. mjesec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10.508,97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13.945,71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</w:t>
            </w:r>
          </w:p>
        </w:tc>
      </w:tr>
    </w:tbl>
    <w:p>
      <w:pPr>
        <w:spacing w:before="0" w:after="0"/>
      </w:pPr>
    </w:p>
    <w:p>
      <w:r>
        <w:t xml:space="preserve">Povećanje je nastalo zbog povećanog obujma posla na pojedinim radnim mjestima.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84.997,82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102.833,60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 zbog isplaćenih otpremnina.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5.638,45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247,2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nastalo zbog povećanog broja službenih putovanja vezanih za stručna usavršavanja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6.508,70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Povećan broj stručnih usavršavanja putem seminara i webinara, te stručnih osposobljavanja.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202,1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godine, a obuhvaća nabavu materijala za održavanje objekata i ostale imovine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16.943,91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49,3</w:t>
            </w:r>
          </w:p>
        </w:tc>
      </w:tr>
    </w:tbl>
    <w:p>
      <w:pPr>
        <w:spacing w:before="0" w:after="0"/>
      </w:pPr>
    </w:p>
    <w:p>
      <w:r>
        <w:t xml:space="preserve">Značajno smanjena  nabava inventara za objekte Grada (mjesni domovi), te nabava opreme za Gradsku upravu.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54.301,09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74.718,67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137,6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2025.g., povećani rashodi za najam licenci i opreme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29.360,40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53.211,65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181,2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nastalo zbog troškova vezanih za sistematske preglede djelatnika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133.382,88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185.700,76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139,2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2025.g., nastalo većim djelom  zbog obračuna naknade na temelju Programa mjera osiguravanja specijalističke zdravstvene zaštite.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66.159,10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308.687,10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466,6</w:t>
            </w:r>
          </w:p>
        </w:tc>
      </w:tr>
    </w:tbl>
    <w:p>
      <w:pPr>
        <w:spacing w:before="0" w:after="0"/>
      </w:pPr>
    </w:p>
    <w:p>
      <w:r>
        <w:t xml:space="preserve">Višestruko povećanje u odnosu na isto razdoblje 2025.g. nastalo zbog troška naknade za energetsku obnovu Športskog centra (Ugovor o energetskom učinku)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118.205,14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38.441,11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32,5</w:t>
            </w:r>
          </w:p>
        </w:tc>
      </w:tr>
    </w:tbl>
    <w:p>
      <w:pPr>
        <w:spacing w:before="0" w:after="0"/>
      </w:pPr>
    </w:p>
    <w:p>
      <w:r>
        <w:t xml:space="preserve">Smanjenje u odnosu na isto razdoblje 2025.g., u prošloj godini održani su izbori, te su ostvareni veći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26.125,04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1255,9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 zbog rashoda vezanog za  Poticajnu naknadu za smanjenje količine miješanog kom. otpada.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usporednog podatka iz 2025.g., a odnosi se na trošak vještačenja u sudskom postupku.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16.380,60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63.877,11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390,0</w:t>
            </w:r>
          </w:p>
        </w:tc>
      </w:tr>
    </w:tbl>
    <w:p>
      <w:pPr>
        <w:spacing w:before="0" w:after="0"/>
      </w:pPr>
    </w:p>
    <w:p>
      <w:r>
        <w:t xml:space="preserve">Povećanje nastalo zbog troška za interkalarne kamate po kreditu HBOR-a, te plaćanje redovne kamate po novom kreditu.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13.317,67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21.918,66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164,6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nastalo zbog plaćanja naknade banci za obradu kredita i izdavanja certifikata.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poljoprivrednicima i obrtnicima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33.933,04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godine, a odnosi se na potpore poljoprivrednicima - sufinanciranje uspostave matičnjaka sorte Škrlet na području grada, te izradu digitalne poljoprivredne komunikacijske platforme.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33.256,66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usporednog podatka iz 2025.g., a odnosi se na sufinanciranje povišenog zdravstvenog standarda i pomoć Srednjoj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3.663.419,85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4.145.539,54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Povećanje u odnosu na isto razdoblje prethodne godine nastalo najvećim dijelom zbog povećanja plaća.</w:t>
      </w:r>
    </w:p>
    <w:p>
      <w:r>
        <w:t xml:space="preserve">Raspodjela po PK:</w:t>
      </w:r>
    </w:p>
    <w:p>
      <w:pPr>
        <w:pStyle w:val="ListParagraph"/>
        <w:numPr>
          <w:ilvl w:val="0"/>
          <w:numId w:val="2"/>
        </w:numPr>
      </w:pPr>
      <w:r>
        <w:t xml:space="preserve">Knjižnica i čitaonica Kutina - 127.978,06 eura</w:t>
      </w:r>
    </w:p>
    <w:p>
      <w:pPr>
        <w:pStyle w:val="ListParagraph"/>
        <w:numPr>
          <w:ilvl w:val="0"/>
          <w:numId w:val="2"/>
        </w:numPr>
      </w:pPr>
      <w:r>
        <w:t xml:space="preserve">Muzej Moslavine Kutina - 157.983,11 eura</w:t>
      </w:r>
    </w:p>
    <w:p>
      <w:pPr>
        <w:pStyle w:val="ListParagraph"/>
        <w:numPr>
          <w:ilvl w:val="0"/>
          <w:numId w:val="2"/>
        </w:numPr>
      </w:pPr>
      <w:r>
        <w:t xml:space="preserve">Vatrogasna postrojba Kutina - 714.285,78 eura</w:t>
      </w:r>
    </w:p>
    <w:p>
      <w:pPr>
        <w:pStyle w:val="ListParagraph"/>
        <w:numPr>
          <w:ilvl w:val="0"/>
          <w:numId w:val="2"/>
        </w:numPr>
      </w:pPr>
      <w:r>
        <w:t xml:space="preserve">Pučko otvoreno učilište Kutina - 215.287,30 eura</w:t>
      </w:r>
    </w:p>
    <w:p>
      <w:pPr>
        <w:pStyle w:val="ListParagraph"/>
        <w:numPr>
          <w:ilvl w:val="0"/>
          <w:numId w:val="2"/>
        </w:numPr>
      </w:pPr>
      <w:r>
        <w:t xml:space="preserve">Dječji vrtić Kutina - 1.746.485,34 eura</w:t>
      </w:r>
    </w:p>
    <w:p>
      <w:pPr>
        <w:pStyle w:val="ListParagraph"/>
        <w:numPr>
          <w:ilvl w:val="0"/>
          <w:numId w:val="2"/>
        </w:numPr>
      </w:pPr>
      <w:r>
        <w:t xml:space="preserve">OGŠ B.Papandopula - 10.033,83 eura</w:t>
      </w:r>
    </w:p>
    <w:p>
      <w:pPr>
        <w:pStyle w:val="ListParagraph"/>
        <w:numPr>
          <w:ilvl w:val="0"/>
          <w:numId w:val="2"/>
        </w:numPr>
      </w:pPr>
      <w:r>
        <w:t xml:space="preserve">OŠ Banova Jaruga - 92.153,64 eura</w:t>
      </w:r>
    </w:p>
    <w:p>
      <w:pPr>
        <w:pStyle w:val="ListParagraph"/>
        <w:numPr>
          <w:ilvl w:val="0"/>
          <w:numId w:val="2"/>
        </w:numPr>
      </w:pPr>
      <w:r>
        <w:t xml:space="preserve">OŠ Mate Lovraka - 178.389,82 eura</w:t>
      </w:r>
    </w:p>
    <w:p>
      <w:pPr>
        <w:pStyle w:val="ListParagraph"/>
        <w:numPr>
          <w:ilvl w:val="0"/>
          <w:numId w:val="2"/>
        </w:numPr>
      </w:pPr>
      <w:r>
        <w:t xml:space="preserve">OŠ Zvonimira Franka - 204.429,89 eura</w:t>
      </w:r>
    </w:p>
    <w:p>
      <w:pPr>
        <w:pStyle w:val="ListParagraph"/>
        <w:numPr>
          <w:ilvl w:val="0"/>
          <w:numId w:val="2"/>
        </w:numPr>
      </w:pPr>
      <w:r>
        <w:t xml:space="preserve">OŠ Stjepana Kefelje - 175.394,76 eura</w:t>
      </w:r>
    </w:p>
    <w:p>
      <w:pPr>
        <w:pStyle w:val="ListParagraph"/>
        <w:numPr>
          <w:ilvl w:val="0"/>
          <w:numId w:val="2"/>
        </w:numPr>
      </w:pPr>
      <w:r>
        <w:t xml:space="preserve">OŠ Vladimira Vidrića - 172.362,95</w:t>
      </w:r>
    </w:p>
    <w:p>
      <w:pPr>
        <w:pStyle w:val="ListParagraph"/>
        <w:numPr>
          <w:ilvl w:val="0"/>
          <w:numId w:val="2"/>
        </w:numPr>
      </w:pPr>
      <w:r>
        <w:t xml:space="preserve">Športski centar Kutina - 350.755,06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202.953,71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219.826,05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Povećanje u odnosu na isto razdoblje prethodne godine nastalo zbog povećanih troškova za nabavu dugotrajne imovine proračunskim korisnicima.</w:t>
      </w:r>
    </w:p>
    <w:p>
      <w:r>
        <w:t xml:space="preserve">Raspodjela po PK:</w:t>
      </w:r>
    </w:p>
    <w:p>
      <w:pPr>
        <w:pStyle w:val="ListParagraph"/>
        <w:numPr>
          <w:ilvl w:val="0"/>
          <w:numId w:val="2"/>
        </w:numPr>
      </w:pPr>
      <w:r>
        <w:t xml:space="preserve">Knjižnica i čitaonica Kutina - 87.206,30 eura</w:t>
      </w:r>
    </w:p>
    <w:p>
      <w:pPr>
        <w:pStyle w:val="ListParagraph"/>
        <w:numPr>
          <w:ilvl w:val="0"/>
          <w:numId w:val="2"/>
        </w:numPr>
      </w:pPr>
      <w:r>
        <w:t xml:space="preserve">Muzej Moslavine Kutina - 1.551,29 eura</w:t>
      </w:r>
    </w:p>
    <w:p>
      <w:pPr>
        <w:pStyle w:val="ListParagraph"/>
        <w:numPr>
          <w:ilvl w:val="0"/>
          <w:numId w:val="2"/>
        </w:numPr>
      </w:pPr>
      <w:r>
        <w:t xml:space="preserve">Vatrogasna postrojba Kutina - 24.796,66 eura</w:t>
      </w:r>
    </w:p>
    <w:p>
      <w:pPr>
        <w:pStyle w:val="ListParagraph"/>
        <w:numPr>
          <w:ilvl w:val="0"/>
          <w:numId w:val="2"/>
        </w:numPr>
      </w:pPr>
      <w:r>
        <w:t xml:space="preserve">Dječji vrtić Kutina - 21.678,52 eura</w:t>
      </w:r>
    </w:p>
    <w:p>
      <w:pPr>
        <w:pStyle w:val="ListParagraph"/>
        <w:numPr>
          <w:ilvl w:val="0"/>
          <w:numId w:val="2"/>
        </w:numPr>
      </w:pPr>
      <w:r>
        <w:t xml:space="preserve">OGŠ B.Papandopula - 389,00 eura</w:t>
      </w:r>
    </w:p>
    <w:p>
      <w:pPr>
        <w:pStyle w:val="ListParagraph"/>
        <w:numPr>
          <w:ilvl w:val="0"/>
          <w:numId w:val="2"/>
        </w:numPr>
      </w:pPr>
      <w:r>
        <w:t xml:space="preserve">OŠ Banova Jaruga - 5.959,90 eura</w:t>
      </w:r>
    </w:p>
    <w:p>
      <w:pPr>
        <w:pStyle w:val="ListParagraph"/>
        <w:numPr>
          <w:ilvl w:val="0"/>
          <w:numId w:val="2"/>
        </w:numPr>
      </w:pPr>
      <w:r>
        <w:t xml:space="preserve">OŠ Mate Lovraka - 927,90 eura</w:t>
      </w:r>
    </w:p>
    <w:p>
      <w:pPr>
        <w:pStyle w:val="ListParagraph"/>
        <w:numPr>
          <w:ilvl w:val="0"/>
          <w:numId w:val="2"/>
        </w:numPr>
      </w:pPr>
      <w:r>
        <w:t xml:space="preserve">OŠ Zvonimira Franka - 15.110,00</w:t>
      </w:r>
    </w:p>
    <w:p>
      <w:pPr>
        <w:pStyle w:val="ListParagraph"/>
        <w:numPr>
          <w:ilvl w:val="0"/>
          <w:numId w:val="2"/>
        </w:numPr>
      </w:pPr>
      <w:r>
        <w:t xml:space="preserve">OŠ Stjepana Kefelje - 28.577,33 eura</w:t>
      </w:r>
    </w:p>
    <w:p>
      <w:pPr>
        <w:pStyle w:val="ListParagraph"/>
        <w:numPr>
          <w:ilvl w:val="0"/>
          <w:numId w:val="2"/>
        </w:numPr>
      </w:pPr>
      <w:r>
        <w:t xml:space="preserve">OŠ Vladimira Vidrića - 10.343,75 eura</w:t>
      </w:r>
    </w:p>
    <w:p>
      <w:pPr>
        <w:pStyle w:val="ListParagraph"/>
        <w:numPr>
          <w:ilvl w:val="0"/>
          <w:numId w:val="2"/>
        </w:numPr>
      </w:pPr>
      <w:r>
        <w:t xml:space="preserve">Športski centar Kutina - 23.285,40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financijsku imovinu i otplatu zajmova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24.773,12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12.281,90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49,6</w:t>
            </w:r>
          </w:p>
        </w:tc>
      </w:tr>
    </w:tbl>
    <w:p>
      <w:pPr>
        <w:spacing w:before="0" w:after="0"/>
      </w:pPr>
    </w:p>
    <w:p>
      <w:r>
        <w:t xml:space="preserve">Smanjenje u odnosu na isto razdoblje 2025. godine nastalo zbog otplaćenih kredita Športskog centra i Vatrogasne postrojbe u 2025.g.</w:t>
      </w:r>
    </w:p>
    <w:p>
      <w:r>
        <w:t xml:space="preserve">Raspodjela po PK:</w:t>
      </w:r>
    </w:p>
    <w:p>
      <w:r>
        <w:t xml:space="preserve">1.Dječji vrtić Kutina - 12.281,90 eura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212.992,38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357.810,85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Povećanje u odnosu na isto razdoblje prethodne godine zbog isplate pomoći umirovljenicima uz Uskrsni blagdan, te su povećane stipendije.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usporednog podatka iz 2025.g., a odnosi se na plaćene troškove Udrugama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neprofitnim organizacijama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370.379,58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usporednog podatka u odnosu na isto razdoblje 2025. godine, a odnosi se na donacije sredstava Župi Marije Snježne za Pastoralni centar.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1.391.139,14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152.236,15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10,9</w:t>
            </w:r>
          </w:p>
        </w:tc>
      </w:tr>
    </w:tbl>
    <w:p>
      <w:pPr>
        <w:spacing w:before="0" w:after="0"/>
      </w:pPr>
    </w:p>
    <w:p>
      <w:r>
        <w:t xml:space="preserve">Smanjenje u odnosu na isto razdoblje 2025. godine, a troškovi su vezani za završne radove na Područnom vrtiću Kutinska Slatina.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797.810,36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932.817,08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odnosi se na rekonstrukciju i izgradnju pješačko biciklističkih staza.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106.543,48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19,5</w:t>
            </w:r>
          </w:p>
        </w:tc>
      </w:tr>
    </w:tbl>
    <w:p>
      <w:pPr>
        <w:spacing w:before="0" w:after="0"/>
      </w:pPr>
    </w:p>
    <w:p>
      <w:r>
        <w:t xml:space="preserve">Smanjenje u odnosu na isto razdoblje 2025. godine, a odnosi se na troškove vezane za plinovod Selište.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2025.g., a odnosi se na nabavu sustava za videonadzor.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28.023,38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4,1</w:t>
            </w:r>
          </w:p>
        </w:tc>
      </w:tr>
    </w:tbl>
    <w:p>
      <w:pPr>
        <w:spacing w:before="0" w:after="0"/>
      </w:pPr>
    </w:p>
    <w:p>
      <w:r>
        <w:t xml:space="preserve">Smanjenje u odnosu na isto razdoblje 2025.g., odnosi se na trošak implementaciije fiskalizacije.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513.105,04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1.261.219,50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245,8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godine, povećani troškovi zbog izvođenja građevinskih radova na objektima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1.255.764,44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2.451.096,56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195,2</w:t>
            </w:r>
          </w:p>
        </w:tc>
      </w:tr>
    </w:tbl>
    <w:p>
      <w:pPr>
        <w:spacing w:before="0" w:after="0"/>
      </w:pPr>
    </w:p>
    <w:p>
      <w:r>
        <w:t xml:space="preserve">Povećanje je nastalo zbog povlačenja kreditnih sredstava za izgradnju i rekonstrukciju nogostupa i cesta, radova na Poduzetničkom inkubatoru, te energetskoj obnovi objekata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Dionice i udjeli u glavnici tuzemnih trgovačkih društava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usporednog podatka u odnosu na isto razdoblje 2025. godine, a odnosi se na izdatke vezane za kupnju poslovnih udjela.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119.230,38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488.478,16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409,7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godine, otplata dva kredita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1.338.119,71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2.014.810,65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150,6</w:t>
            </w:r>
          </w:p>
        </w:tc>
      </w:tr>
    </w:tbl>
    <w:p>
      <w:pPr>
        <w:spacing w:before="0" w:after="0"/>
      </w:pPr>
    </w:p>
    <w:p>
      <w:r>
        <w:t xml:space="preserve">U izvještajnom razdoblju stanje je sljedeće:</w:t>
      </w:r>
    </w:p>
    <w:p>
      <w:r>
        <w:t xml:space="preserve">Ukupni prihodi i primici = 13.894.851,34</w:t>
      </w:r>
    </w:p>
    <w:p>
      <w:r>
        <w:t xml:space="preserve">Ukupni rashodi i izdaci = 13.236.084,02</w:t>
      </w:r>
    </w:p>
    <w:p>
      <w:r>
        <w:t xml:space="preserve">Višak prihoda i primitaka = 658.767,32</w:t>
      </w:r>
    </w:p>
    <w:p>
      <w:r>
        <w:t xml:space="preserve">Manjak prihoda i primitaka - preneseni = 2.673.577,97</w:t>
      </w:r>
    </w:p>
    <w:p>
      <w:r>
        <w:t xml:space="preserve">Manjak prihoda i primitaka za pokriće u sljedećem razdoblju = 2.014.810,65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u tijelima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Povećanje u odnosu na isto razdoblje 2025. godine zbog primljenih novih djelatnika u stalni radni odnos i privremeno kao zamjena.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27.326,84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27.326,84 eura. Isti će biti podmireni u sljedećem tromjesečju.</w:t>
      </w:r>
    </w:p>
    <w:p>
      <w:r>
        <w:t xml:space="preserve">To su sljedeći računi s datumima dospijeća:</w:t>
      </w:r>
    </w:p>
    <w:p>
      <w:r>
        <w:t xml:space="preserve">1.     Materijal i dijelovi za tekuće i  investicijsko održavanje: 200,00 eura (dospijeće 21.06.2026.)</w:t>
      </w:r>
    </w:p>
    <w:p>
      <w:r>
        <w:t xml:space="preserve">2.      Usluge tekućeg i investicijskog održavanja: 8.500,00 eura (dospijeće 30.06.2026.); 45,00 eura (dospijeće 17.06.2026.); 5.000,00 eura (dospijeće 16.06.2026.)</w:t>
      </w:r>
    </w:p>
    <w:p>
      <w:r>
        <w:t xml:space="preserve">3.      Usluge promidžbe i informiranja: 128,63 eura (dospijeće 26.06.2026.)      </w:t>
      </w:r>
    </w:p>
    <w:p>
      <w:r>
        <w:t xml:space="preserve">4.      Intelektualne i osobne usluge: 4.288,50 eura (dospijeće 25.06.2026.)</w:t>
      </w:r>
    </w:p>
    <w:p>
      <w:r>
        <w:t xml:space="preserve">5.     Računalne usluge: 472,50 eura (dospijeće 19.06.2026.)</w:t>
      </w:r>
    </w:p>
    <w:p>
      <w:r>
        <w:t xml:space="preserve">6.     Reprezentacija: 103,32 eura (dospijeće 29.06.2026.)</w:t>
      </w:r>
    </w:p>
    <w:p>
      <w:r>
        <w:t xml:space="preserve">7.     Obveze za tekuće pomoći proračunskim korisnicima drugih proračuna: 1.074,89 eura (dospijeće 30.06.2026.)</w:t>
      </w:r>
    </w:p>
    <w:p>
      <w:r>
        <w:t xml:space="preserve">8.     Obveze za ostale naknade građanima i kućanstvima u naravi: 5.530,00 eura (dospijeće 30.06.2026.)</w:t>
      </w:r>
    </w:p>
    <w:p>
      <w:r>
        <w:t xml:space="preserve">9.     Donacije političkim strankama: dospijeće 1.984,00 (dospijeće 30.06.2026.)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15.891.621,72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iznose  15.891.621,72 eura.</w:t>
      </w:r>
    </w:p>
    <w:p>
      <w:r>
        <w:t xml:space="preserve">Odnose se na sljedeće:</w:t>
      </w:r>
    </w:p>
    <w:p>
      <w:r>
        <w:t xml:space="preserve">1.      Obveze za zaposlene (podskupina 231) u iznosu od 183.746,03</w:t>
      </w:r>
    </w:p>
    <w:p>
      <w:r>
        <w:t xml:space="preserve">2.      Obveze za materijalne rashode(podskupina 232) u iznosu od 243.396,61</w:t>
      </w:r>
    </w:p>
    <w:p>
      <w:r>
        <w:t xml:space="preserve">3.      Obveze za financijske rashode (podskupina 234) u iznosu od 2.808,46</w:t>
      </w:r>
    </w:p>
    <w:p>
      <w:r>
        <w:t xml:space="preserve">4.      Obveze za subvencije (podskupina 235) u iznosu od 312,88</w:t>
      </w:r>
    </w:p>
    <w:p>
      <w:r>
        <w:t xml:space="preserve">5.      Obveze za naknade građanima i kućanstvima (podskupina 237) u iznosu od 50.829,02</w:t>
      </w:r>
    </w:p>
    <w:p>
      <w:r>
        <w:t xml:space="preserve">6.      Obveze za donacije, kazne, naknade šteta i kapitalne pomoći (podskupina 238) u iznosu od 3.102,41</w:t>
      </w:r>
    </w:p>
    <w:p>
      <w:r>
        <w:t xml:space="preserve">7.      Ostale tekuće obveze (podskupina 239) u iznosu od 1.432.046,90</w:t>
      </w:r>
    </w:p>
    <w:p>
      <w:r>
        <w:t xml:space="preserve">8.      Obveze za nabavu proizvedene dugotrajne imovine (podskupina 242) u iznosu od 70.598,25</w:t>
      </w:r>
    </w:p>
    <w:p>
      <w:r>
        <w:t xml:space="preserve">9.      Obveze za dodatna ulaganja na nefinancijskoj imovini (podskupina 245) u iznosu od 134.431,37</w:t>
      </w:r>
    </w:p>
    <w:p>
      <w:r>
        <w:t xml:space="preserve">10.    Obveze za kredite i zajmove od kreditnih i ostalih financijskih institucija u javnom sektoru (podskupina 262) u iznosu od 7.932.413,33</w:t>
      </w:r>
    </w:p>
    <w:p>
      <w:r>
        <w:t xml:space="preserve">11.    Obveze za kredite i zajmove od kreditnih i ostalih financijskih institucija izvan javnog sektora (podskupina 264) u iznosu od 3.931.841,11</w:t>
      </w:r>
    </w:p>
    <w:p>
      <w:r>
        <w:t xml:space="preserve">12.    Obveze za predujmove (podskupina 271) u iznosu od 968,88</w:t>
      </w:r>
    </w:p>
    <w:p>
      <w:r>
        <w:t xml:space="preserve">13.    Obveze za depozite i jamčevne pologe (podskupina 272) u iznosu od 118.204,41</w:t>
      </w:r>
    </w:p>
    <w:p>
      <w:r>
        <w:t xml:space="preserve">14.    Obveze za naplaćene tuđe prihode (podskupina 273) u iznosu od 73.403,66</w:t>
      </w:r>
    </w:p>
    <w:p>
      <w:r>
        <w:t xml:space="preserve">U međusobnim obvezama je sljedeće: Obveze proračuna za naplaćena sredstva proračunskg korisnika (podskupina 274) u iznosu od 1.711.364,07; Obveze za povrat u proračun sredstava koja refundira HZZO (podskupina 231)  u iznosu od 1.988,83; 55% prihoda od prodaje stanova na kojima postoji stanarsko pravo (podskupina 273 u iznosu od 165,50. Ukupno V010 = 1.713.518,40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Projekt Područni vrtić Repušnica financira se iz EU sredstava, Ugovor o dodjeli bespovratnih sredstava za projekte koji se financiraju iz Programa Konkurentnost i kohezija PK.6.1.01.0075. Iz EU sredstava financira se 380.000,00 eura. ZNS 1 podnesen u 2025. godini, odobrena bespovratna sredstva u iznosu od 6.935,88 eura. Na prvi dan izvještajnog razdoblja 06-2026 potraživanja za pomoći temeljem prijenosa EU sredstava za navedeni projekt iznose  6.935,88 eura, a stanje na zadnji dan izvještajnog razdoblja iznosi 0,00 eura jer su sredstva uplaćena i priznat je prihod. Potraživanje po ugovoru na zadnji dan izvještajnog razdoblja iznosi 373.064,12 eura.</w:t>
      </w:r>
    </w:p>
    <w:p>
      <w:r>
        <w:t xml:space="preserve">Projekt Urbana mreža zelene infrastrukture grada Kutine financira se iz EU sredstava, Ugovor o dodjeli bespovratnih sredstava za projekte koji se financiraju iz Programa Konkurentnost i kohezija PK.3.7.08.0068. Iz EU sredstava financira se 3.790.745,13 eura. Ugovor je sklopljen 25.06.2026. godine. U izvanbilančnim zapisima na kontu 99171 stanje na zadnji dan izvještajnog razdoblja iznosi 4.163.809,25 eura i obuhvaća ova dva navedena projekta.</w:t>
      </w:r>
    </w:p>
    <w:p>
      <w:r>
        <w:t xml:space="preserve">Projekt EO Augusta Šenoe , financiran je iz Mehanizma za oporavak i otpornost, Ugovor NPOO.C6.1.R1-I1.04.0101, podnesen i odobren ZNS 1 u 2025.g. na iznos od 5.100,00 eura, troškovi su knjiženi u 2024.g. te je podnesen u 2025.g. ZNS 2 na iznos 141.775,98 eura. ZNS 2 odobren je u 2026. godini, uplaćena su sredstva i knjižen je prihod u iznosu od 113.436,41 eura. U  izvještajnom razdoblju 06-2026 podnesen je ZNS 3 u iznosu od 193.298,42 eura. Uplaćena su sredstva po ZNS-u 3 u iznosu od 131.479,74 eura i knjižen je prihod. Knjiženi su neprihvatljivi troškovi u iznosu od 28.948,75 eura. Troškovi u 2026.g. knjiženi su u iznosu od 251.987,25 eura. Projekt je pred završetkom i  u sljedećem tromjesečju bi trebalo biti završno izvješće.</w:t>
      </w:r>
    </w:p>
    <w:p>
      <w:r>
        <w:t xml:space="preserve">Projekt EO Crkvena, financiran je iz Mehanizma za oporavak i otpornost, Ugovor NPOO.C6.1.R1-I1.04.0103, ZNS 1 podnesen, odobren i isplaćen u 2024. godini u iznosu od 5.724,30 eura, troškovi iz 2024. su podmireni. Tijekom 2025. godine podnesena su tri ZNS-a s ukupno potraživanim troškovima 0,00. ZNS 5 podnesen je 12.01.2026. godine. Troškovi za EO Crkvena knjiženi su u 2025. godini u iznosu od 13.834,92 eura. ZNS 5 odobren je u 2026. godini,  primljena su sredstva i knjižen je prihod u iznosu od 101.774,30 eura. U  izvještajnom razdoblju 06-2026 podnesen je ZNS 6 u iznosu od 136.439,80 eura, isti je odobren, primljena su sredstva i knjižen je prihod u iznosu od 98.259,52 eura. Isto tako podnesen je i ZNS 7 u iznosu od 16.289,68 eura. Isti još nije odobren. Troškovi knjiženi u 2026. godini su u iznosu od 155.257,86 eura. Projekt je pred završetkom i u sljedećem tromjesečju bi trebalo biti završno izvješće.</w:t>
      </w:r>
    </w:p>
    <w:p>
      <w:r>
        <w:t xml:space="preserve">Projekt EO Jamarice, financiran je iz Mehanizma za oporavak i otpornost, Ugovor NPOO.C6.1.R1-I1.04.0102, ZNS 1 podnesen je u 2024. godini i odobren 17.02.2025. u iznosu 5.016,54 eura, podmireni su troškovi iz 2024.g. Potraživani troškovi za tri ZNS-a u 2025.g.  su bili  0,00.  U 2025.g. knjiženi su troškovi u iznosu od 4.998,66 eura. ZNS 5 podnesen je 26.01.2026. godine, isti je odobren i primljena su sredstva  u ovom izvještajnom razdoblju te je knjižen prihod u iznosu od 82.651,95 eura. Knjiženi su izuzeti troškovi u iznosu od 312,50 eura i neprihvatljivi troškovi u iznosu od 4.184,50 eura. U ovom tromjesečju podnesen je ZNS 6 na iznos 103.314,94 eura. i još nije odobren.  Troškovi u 2026. godini knjiženi su u iznosu od 52.164,46 eura. Projekt je pred završetkom i u sljedećem tromjesečju bi trebalo biti završno izvješće.  </w:t>
      </w:r>
    </w:p>
    <w:p>
      <w:r>
        <w:t xml:space="preserve">Projekt EO Ilova, financiran je iz Mehanizma za oporavak i otpornost, Ugovor NPOO.C6.1.R1-I1.04.0099, ZNS 1 podnesen i odobren u 2024.g., a isplaćen u 2025.g. u iznosu od 5.100,00., troškovi podmireni . U 2025.g. knjiženi troškovi u iznosu od 148.824,40 eura. U 2026.g. podnesen je ZNS 5 u iznosu od 126.820,89 eura , primljena su sredstva i knjižen je prihod u iznosu od 123.301,90 eura. Knjiženi su izuzeti troškovi u iznosu od 312,50 eura i neprihvatljivi troškovi u iznosu od 3.206,49 eura. U ovom tromjesečju podnesen je ZNS 6 na iznos od 25.196,07 eura i još nije odobren. Troškovi u 2026. godini knjiženi su u iznosu od 143.541,52 eura. Projekt je pred završetkom i u sljedećem tromjesečju bi trebalo biti završno izvješće.</w:t>
      </w:r>
    </w:p>
    <w:p>
      <w:r>
        <w:t xml:space="preserve">Projekt kojim se povećava energetska učinkovitost Športskog centra Kutina, Ugovor o energetskom učinku broj 59-09-EPC-2025, financiran iz Nacionalnog plana oporavka i otpornosti 2021.-2026. za projekt NPOO.C6.1.R1-II.03.0001, počeo se realizirati u ovom tromjesečju. Ugovor je u iznosu od 2.161.250,00 eura i uplaćena je prva rata u iznosu od 230.821,50 eura, koja je knjižena kao prihod.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009c23b5b545e5" /><Relationship Type="http://schemas.openxmlformats.org/officeDocument/2006/relationships/numbering" Target="/word/numbering.xml" Id="Rd7f3215ea95846d6" /></Relationships>
</file>